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E9B3" w14:textId="50E7D4C9" w:rsidR="00D751C3" w:rsidRDefault="00D2688F">
      <w:pPr>
        <w:pStyle w:val="BodyText"/>
        <w:spacing w:before="121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37870" wp14:editId="496C711A">
            <wp:simplePos x="0" y="0"/>
            <wp:positionH relativeFrom="margin">
              <wp:posOffset>7483475</wp:posOffset>
            </wp:positionH>
            <wp:positionV relativeFrom="paragraph">
              <wp:posOffset>19050</wp:posOffset>
            </wp:positionV>
            <wp:extent cx="758825" cy="722630"/>
            <wp:effectExtent l="19050" t="19050" r="22225" b="20320"/>
            <wp:wrapTight wrapText="bothSides">
              <wp:wrapPolygon edited="0">
                <wp:start x="-542" y="-569"/>
                <wp:lineTo x="-542" y="21638"/>
                <wp:lineTo x="21690" y="21638"/>
                <wp:lineTo x="21690" y="-569"/>
                <wp:lineTo x="-542" y="-569"/>
              </wp:wrapPolygon>
            </wp:wrapTight>
            <wp:docPr id="2" name="Picture 2" descr="RIBSTON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STON | Linked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22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B11E0C2" wp14:editId="6C68B03E">
            <wp:simplePos x="0" y="0"/>
            <wp:positionH relativeFrom="margin">
              <wp:posOffset>8289985</wp:posOffset>
            </wp:positionH>
            <wp:positionV relativeFrom="paragraph">
              <wp:posOffset>467</wp:posOffset>
            </wp:positionV>
            <wp:extent cx="74168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89B03" w14:textId="5E3C3448" w:rsidR="00DC1C43" w:rsidRDefault="00DC1C43">
      <w:pPr>
        <w:spacing w:before="1"/>
        <w:ind w:left="117"/>
        <w:rPr>
          <w:color w:val="435A69"/>
          <w:spacing w:val="-2"/>
          <w:sz w:val="20"/>
        </w:rPr>
      </w:pPr>
      <w:r>
        <w:rPr>
          <w:color w:val="435A69"/>
          <w:spacing w:val="-2"/>
          <w:sz w:val="20"/>
        </w:rPr>
        <w:t>ALL ENQUIRIES – Jonathon Webster</w:t>
      </w:r>
      <w:r w:rsidR="001974CA">
        <w:rPr>
          <w:color w:val="435A69"/>
          <w:spacing w:val="-2"/>
          <w:sz w:val="20"/>
        </w:rPr>
        <w:t xml:space="preserve"> - </w:t>
      </w:r>
      <w:r>
        <w:rPr>
          <w:color w:val="435A69"/>
          <w:spacing w:val="-2"/>
          <w:sz w:val="20"/>
        </w:rPr>
        <w:t xml:space="preserve">Savills </w:t>
      </w:r>
    </w:p>
    <w:p w14:paraId="45494006" w14:textId="11FBA8C1" w:rsidR="00867BA3" w:rsidRDefault="003E2CE8" w:rsidP="00867BA3">
      <w:pPr>
        <w:spacing w:before="1"/>
        <w:ind w:left="117"/>
        <w:rPr>
          <w:rFonts w:ascii="Avenir Black"/>
          <w:b/>
          <w:sz w:val="20"/>
        </w:rPr>
      </w:pPr>
      <w:r>
        <w:rPr>
          <w:color w:val="435A69"/>
          <w:spacing w:val="-2"/>
          <w:sz w:val="20"/>
        </w:rPr>
        <w:t>Tel:</w:t>
      </w:r>
      <w:r>
        <w:rPr>
          <w:color w:val="435A69"/>
          <w:spacing w:val="-4"/>
          <w:sz w:val="20"/>
        </w:rPr>
        <w:t xml:space="preserve"> </w:t>
      </w:r>
      <w:r>
        <w:rPr>
          <w:color w:val="435A69"/>
          <w:spacing w:val="-2"/>
          <w:sz w:val="20"/>
        </w:rPr>
        <w:t>07</w:t>
      </w:r>
      <w:r w:rsidR="00D2688F">
        <w:rPr>
          <w:color w:val="435A69"/>
          <w:spacing w:val="-2"/>
          <w:sz w:val="20"/>
        </w:rPr>
        <w:t>976 910 987</w:t>
      </w:r>
      <w:r>
        <w:rPr>
          <w:color w:val="435A69"/>
          <w:spacing w:val="-4"/>
          <w:sz w:val="20"/>
        </w:rPr>
        <w:t xml:space="preserve"> </w:t>
      </w:r>
      <w:r>
        <w:rPr>
          <w:color w:val="435A69"/>
          <w:spacing w:val="-2"/>
          <w:sz w:val="20"/>
        </w:rPr>
        <w:t>|</w:t>
      </w:r>
      <w:r>
        <w:rPr>
          <w:color w:val="435A69"/>
          <w:spacing w:val="-3"/>
          <w:sz w:val="20"/>
        </w:rPr>
        <w:t xml:space="preserve"> </w:t>
      </w:r>
      <w:r>
        <w:rPr>
          <w:color w:val="435A69"/>
          <w:spacing w:val="-2"/>
          <w:sz w:val="20"/>
        </w:rPr>
        <w:t>Email:</w:t>
      </w:r>
      <w:r>
        <w:rPr>
          <w:color w:val="435A69"/>
          <w:spacing w:val="-3"/>
          <w:sz w:val="20"/>
        </w:rPr>
        <w:t xml:space="preserve"> </w:t>
      </w:r>
      <w:hyperlink r:id="rId6" w:history="1">
        <w:r w:rsidR="00D2688F" w:rsidRPr="009D13F7">
          <w:rPr>
            <w:rStyle w:val="Hyperlink"/>
            <w:spacing w:val="-2"/>
            <w:sz w:val="20"/>
          </w:rPr>
          <w:t>jonathon.webster@savills.com</w:t>
        </w:r>
      </w:hyperlink>
      <w:r>
        <w:rPr>
          <w:color w:val="435A69"/>
          <w:spacing w:val="-3"/>
          <w:sz w:val="20"/>
        </w:rPr>
        <w:t xml:space="preserve"> </w:t>
      </w:r>
      <w:r>
        <w:rPr>
          <w:color w:val="435A69"/>
          <w:spacing w:val="-2"/>
          <w:sz w:val="20"/>
        </w:rPr>
        <w:t>|</w:t>
      </w:r>
      <w:r>
        <w:rPr>
          <w:color w:val="435A69"/>
          <w:spacing w:val="-4"/>
          <w:sz w:val="20"/>
        </w:rPr>
        <w:t xml:space="preserve"> </w:t>
      </w:r>
      <w:hyperlink r:id="rId7" w:history="1">
        <w:r w:rsidR="00DC1C43" w:rsidRPr="001974CA">
          <w:rPr>
            <w:rStyle w:val="Hyperlink"/>
            <w:rFonts w:ascii="Avenir Black"/>
            <w:bCs/>
            <w:spacing w:val="-2"/>
            <w:sz w:val="20"/>
          </w:rPr>
          <w:t>www.savills.co.uk</w:t>
        </w:r>
      </w:hyperlink>
      <w:r w:rsidR="00DC1C43">
        <w:rPr>
          <w:rFonts w:ascii="Avenir Black"/>
          <w:b/>
          <w:color w:val="435A69"/>
          <w:spacing w:val="-2"/>
          <w:sz w:val="20"/>
        </w:rPr>
        <w:t xml:space="preserve"> </w:t>
      </w:r>
      <w:r w:rsidR="00867BA3">
        <w:t xml:space="preserve">/ </w:t>
      </w:r>
      <w:hyperlink r:id="rId8" w:history="1">
        <w:r w:rsidR="00867BA3">
          <w:rPr>
            <w:rStyle w:val="Hyperlink"/>
            <w:sz w:val="20"/>
            <w:szCs w:val="20"/>
          </w:rPr>
          <w:t>Oakbank Trading Estate Microsite</w:t>
        </w:r>
      </w:hyperlink>
      <w:r w:rsidR="00867BA3">
        <w:rPr>
          <w:sz w:val="20"/>
          <w:szCs w:val="20"/>
        </w:rPr>
        <w:t xml:space="preserve"> </w:t>
      </w:r>
    </w:p>
    <w:p w14:paraId="39425E4E" w14:textId="262A0E68" w:rsidR="00D751C3" w:rsidRDefault="00D751C3">
      <w:pPr>
        <w:spacing w:before="1"/>
        <w:ind w:left="117"/>
        <w:rPr>
          <w:rFonts w:ascii="Avenir Black"/>
          <w:b/>
          <w:sz w:val="20"/>
        </w:rPr>
      </w:pPr>
    </w:p>
    <w:p w14:paraId="4228ADDA" w14:textId="522664B9" w:rsidR="00D751C3" w:rsidRDefault="00D751C3">
      <w:pPr>
        <w:pStyle w:val="BodyText"/>
        <w:spacing w:before="387"/>
        <w:ind w:left="0"/>
        <w:rPr>
          <w:rFonts w:ascii="Avenir Black"/>
          <w:b/>
          <w:sz w:val="36"/>
        </w:rPr>
      </w:pPr>
    </w:p>
    <w:p w14:paraId="49E44698" w14:textId="0FCF5E69" w:rsidR="00D751C3" w:rsidRDefault="003E2CE8" w:rsidP="00D2688F">
      <w:pPr>
        <w:pStyle w:val="Title"/>
      </w:pPr>
      <w:r>
        <w:rPr>
          <w:color w:val="435A69"/>
        </w:rPr>
        <w:t>Oakbank</w:t>
      </w:r>
      <w:r>
        <w:rPr>
          <w:color w:val="435A69"/>
          <w:spacing w:val="-17"/>
        </w:rPr>
        <w:t xml:space="preserve"> </w:t>
      </w:r>
      <w:r>
        <w:rPr>
          <w:color w:val="435A69"/>
        </w:rPr>
        <w:t>Trading</w:t>
      </w:r>
      <w:r>
        <w:rPr>
          <w:color w:val="435A69"/>
          <w:spacing w:val="-17"/>
        </w:rPr>
        <w:t xml:space="preserve"> </w:t>
      </w:r>
      <w:r>
        <w:rPr>
          <w:color w:val="435A69"/>
          <w:spacing w:val="-2"/>
        </w:rPr>
        <w:t>Estate</w:t>
      </w:r>
      <w:r w:rsidR="00D2688F">
        <w:rPr>
          <w:color w:val="435A69"/>
          <w:spacing w:val="-2"/>
        </w:rPr>
        <w:t xml:space="preserve"> </w:t>
      </w:r>
      <w:r>
        <w:rPr>
          <w:color w:val="435A69"/>
          <w:sz w:val="22"/>
        </w:rPr>
        <w:t>Garscube</w:t>
      </w:r>
      <w:r>
        <w:rPr>
          <w:color w:val="435A69"/>
          <w:spacing w:val="-3"/>
          <w:sz w:val="22"/>
        </w:rPr>
        <w:t xml:space="preserve"> </w:t>
      </w:r>
      <w:r>
        <w:rPr>
          <w:color w:val="435A69"/>
          <w:sz w:val="22"/>
        </w:rPr>
        <w:t>Road</w:t>
      </w:r>
      <w:r>
        <w:rPr>
          <w:color w:val="435A69"/>
          <w:spacing w:val="-2"/>
          <w:sz w:val="22"/>
        </w:rPr>
        <w:t xml:space="preserve"> </w:t>
      </w:r>
      <w:r>
        <w:rPr>
          <w:color w:val="435A69"/>
          <w:sz w:val="22"/>
        </w:rPr>
        <w:t>/</w:t>
      </w:r>
      <w:r>
        <w:rPr>
          <w:color w:val="435A69"/>
          <w:spacing w:val="-3"/>
          <w:sz w:val="22"/>
        </w:rPr>
        <w:t xml:space="preserve"> </w:t>
      </w:r>
      <w:r>
        <w:rPr>
          <w:color w:val="435A69"/>
          <w:sz w:val="22"/>
        </w:rPr>
        <w:t>Oakbank</w:t>
      </w:r>
      <w:r>
        <w:rPr>
          <w:color w:val="435A69"/>
          <w:spacing w:val="-2"/>
          <w:sz w:val="22"/>
        </w:rPr>
        <w:t xml:space="preserve"> </w:t>
      </w:r>
      <w:r>
        <w:rPr>
          <w:color w:val="435A69"/>
          <w:sz w:val="22"/>
        </w:rPr>
        <w:t>Street,</w:t>
      </w:r>
      <w:r>
        <w:rPr>
          <w:color w:val="435A69"/>
          <w:spacing w:val="-3"/>
          <w:sz w:val="22"/>
        </w:rPr>
        <w:t xml:space="preserve"> </w:t>
      </w:r>
      <w:r>
        <w:rPr>
          <w:color w:val="435A69"/>
          <w:sz w:val="22"/>
        </w:rPr>
        <w:t>Glasgow,</w:t>
      </w:r>
      <w:r>
        <w:rPr>
          <w:color w:val="435A69"/>
          <w:spacing w:val="-2"/>
          <w:sz w:val="22"/>
        </w:rPr>
        <w:t xml:space="preserve"> </w:t>
      </w:r>
      <w:r>
        <w:rPr>
          <w:color w:val="435A69"/>
          <w:sz w:val="22"/>
        </w:rPr>
        <w:t>G20</w:t>
      </w:r>
      <w:r>
        <w:rPr>
          <w:color w:val="435A69"/>
          <w:spacing w:val="-2"/>
          <w:sz w:val="22"/>
        </w:rPr>
        <w:t xml:space="preserve"> </w:t>
      </w:r>
      <w:r>
        <w:rPr>
          <w:color w:val="435A69"/>
          <w:spacing w:val="-5"/>
          <w:sz w:val="22"/>
        </w:rPr>
        <w:t>7LU</w:t>
      </w:r>
    </w:p>
    <w:tbl>
      <w:tblPr>
        <w:tblpPr w:leftFromText="180" w:rightFromText="180" w:vertAnchor="text" w:horzAnchor="margin" w:tblpXSpec="center" w:tblpY="265"/>
        <w:tblW w:w="14884" w:type="dxa"/>
        <w:tblBorders>
          <w:top w:val="single" w:sz="8" w:space="0" w:color="435A69"/>
          <w:left w:val="single" w:sz="8" w:space="0" w:color="435A69"/>
          <w:bottom w:val="single" w:sz="8" w:space="0" w:color="435A69"/>
          <w:right w:val="single" w:sz="8" w:space="0" w:color="435A69"/>
          <w:insideH w:val="single" w:sz="8" w:space="0" w:color="435A69"/>
          <w:insideV w:val="single" w:sz="8" w:space="0" w:color="435A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987"/>
        <w:gridCol w:w="992"/>
        <w:gridCol w:w="1418"/>
        <w:gridCol w:w="1417"/>
        <w:gridCol w:w="1560"/>
        <w:gridCol w:w="1417"/>
        <w:gridCol w:w="714"/>
        <w:gridCol w:w="4389"/>
      </w:tblGrid>
      <w:tr w:rsidR="00DE5B4D" w14:paraId="500E1AB0" w14:textId="77777777" w:rsidTr="002C2324">
        <w:trPr>
          <w:trHeight w:val="851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396C37D" w14:textId="77777777" w:rsidR="00DE5B4D" w:rsidRDefault="00DE5B4D" w:rsidP="00974C75">
            <w:pPr>
              <w:pStyle w:val="TableParagraph"/>
              <w:spacing w:before="210" w:line="276" w:lineRule="auto"/>
              <w:ind w:left="90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2"/>
                <w:sz w:val="20"/>
              </w:rPr>
              <w:t>Address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9D66AFA" w14:textId="77777777" w:rsidR="00DE5B4D" w:rsidRDefault="00DE5B4D" w:rsidP="00974C75">
            <w:pPr>
              <w:pStyle w:val="TableParagraph"/>
              <w:spacing w:before="90" w:line="276" w:lineRule="auto"/>
              <w:ind w:left="90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4"/>
                <w:sz w:val="20"/>
              </w:rPr>
              <w:t>Size</w:t>
            </w:r>
          </w:p>
          <w:p w14:paraId="71D2C71E" w14:textId="77777777" w:rsidR="00DE5B4D" w:rsidRDefault="00DE5B4D" w:rsidP="00974C75">
            <w:pPr>
              <w:pStyle w:val="TableParagraph"/>
              <w:spacing w:line="276" w:lineRule="auto"/>
              <w:ind w:left="90"/>
              <w:rPr>
                <w:rFonts w:ascii="Avenir"/>
                <w:sz w:val="20"/>
              </w:rPr>
            </w:pPr>
            <w:r>
              <w:rPr>
                <w:rFonts w:ascii="Avenir"/>
                <w:color w:val="FFFFFF"/>
                <w:sz w:val="20"/>
              </w:rPr>
              <w:t xml:space="preserve">(sq </w:t>
            </w:r>
            <w:r>
              <w:rPr>
                <w:rFonts w:ascii="Avenir"/>
                <w:color w:val="FFFFFF"/>
                <w:spacing w:val="-5"/>
                <w:sz w:val="20"/>
              </w:rPr>
              <w:t>ft)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E2DC2FC" w14:textId="77777777" w:rsidR="00DE5B4D" w:rsidRDefault="00DE5B4D" w:rsidP="00974C75">
            <w:pPr>
              <w:pStyle w:val="TableParagraph"/>
              <w:spacing w:before="90" w:line="276" w:lineRule="auto"/>
              <w:ind w:left="90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4"/>
                <w:sz w:val="20"/>
              </w:rPr>
              <w:t>Size</w:t>
            </w:r>
          </w:p>
          <w:p w14:paraId="7C9E0566" w14:textId="77777777" w:rsidR="00DE5B4D" w:rsidRDefault="00DE5B4D" w:rsidP="00974C75">
            <w:pPr>
              <w:pStyle w:val="TableParagraph"/>
              <w:spacing w:line="276" w:lineRule="auto"/>
              <w:ind w:left="90"/>
              <w:rPr>
                <w:rFonts w:ascii="Avenir"/>
                <w:sz w:val="20"/>
              </w:rPr>
            </w:pPr>
            <w:r>
              <w:rPr>
                <w:rFonts w:ascii="Avenir"/>
                <w:color w:val="FFFFFF"/>
                <w:sz w:val="20"/>
              </w:rPr>
              <w:t xml:space="preserve">(sq </w:t>
            </w:r>
            <w:r>
              <w:rPr>
                <w:rFonts w:ascii="Avenir"/>
                <w:color w:val="FFFFFF"/>
                <w:spacing w:val="-5"/>
                <w:sz w:val="20"/>
              </w:rPr>
              <w:t>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54221AD" w14:textId="77777777" w:rsidR="00DE5B4D" w:rsidRDefault="00DE5B4D" w:rsidP="00974C75">
            <w:pPr>
              <w:pStyle w:val="TableParagraph"/>
              <w:spacing w:before="90" w:line="276" w:lineRule="auto"/>
              <w:ind w:left="89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4"/>
                <w:sz w:val="20"/>
              </w:rPr>
              <w:t>Rent</w:t>
            </w:r>
          </w:p>
          <w:p w14:paraId="6512BAFE" w14:textId="77777777" w:rsidR="00DE5B4D" w:rsidRDefault="00DE5B4D" w:rsidP="00974C75">
            <w:pPr>
              <w:pStyle w:val="TableParagraph"/>
              <w:spacing w:line="276" w:lineRule="auto"/>
              <w:ind w:left="89"/>
              <w:rPr>
                <w:rFonts w:ascii="Avenir"/>
                <w:sz w:val="20"/>
              </w:rPr>
            </w:pPr>
            <w:r>
              <w:rPr>
                <w:rFonts w:ascii="Avenir"/>
                <w:color w:val="FFFFFF"/>
                <w:sz w:val="20"/>
              </w:rPr>
              <w:t xml:space="preserve">(per </w:t>
            </w:r>
            <w:r>
              <w:rPr>
                <w:rFonts w:ascii="Avenir"/>
                <w:color w:val="FFFFFF"/>
                <w:spacing w:val="-2"/>
                <w:sz w:val="20"/>
              </w:rPr>
              <w:t>annum)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A9C979D" w14:textId="77777777" w:rsidR="00DE5B4D" w:rsidRDefault="00DE5B4D" w:rsidP="00974C75">
            <w:pPr>
              <w:pStyle w:val="TableParagraph"/>
              <w:spacing w:before="90" w:line="276" w:lineRule="auto"/>
              <w:ind w:left="89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z w:val="20"/>
              </w:rPr>
              <w:t xml:space="preserve">Service </w:t>
            </w:r>
            <w:r>
              <w:rPr>
                <w:rFonts w:ascii="Avenir Black"/>
                <w:b/>
                <w:color w:val="FFFFFF"/>
                <w:spacing w:val="-2"/>
                <w:sz w:val="20"/>
              </w:rPr>
              <w:t>Charge</w:t>
            </w:r>
          </w:p>
          <w:p w14:paraId="047126C0" w14:textId="77777777" w:rsidR="00DE5B4D" w:rsidRDefault="00DE5B4D" w:rsidP="00974C75">
            <w:pPr>
              <w:pStyle w:val="TableParagraph"/>
              <w:spacing w:line="276" w:lineRule="auto"/>
              <w:ind w:left="89"/>
              <w:rPr>
                <w:rFonts w:ascii="Avenir"/>
                <w:sz w:val="20"/>
              </w:rPr>
            </w:pPr>
            <w:r>
              <w:rPr>
                <w:rFonts w:ascii="Avenir"/>
                <w:color w:val="FFFFFF"/>
                <w:sz w:val="20"/>
              </w:rPr>
              <w:t xml:space="preserve">(per </w:t>
            </w:r>
            <w:r>
              <w:rPr>
                <w:rFonts w:ascii="Avenir"/>
                <w:color w:val="FFFFFF"/>
                <w:spacing w:val="-2"/>
                <w:sz w:val="20"/>
              </w:rPr>
              <w:t>annum)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E804A94" w14:textId="7E8E6419" w:rsidR="00DE5B4D" w:rsidRPr="00082740" w:rsidRDefault="00DE5B4D" w:rsidP="00082740">
            <w:pPr>
              <w:pStyle w:val="TableParagraph"/>
              <w:spacing w:before="98" w:line="276" w:lineRule="auto"/>
              <w:ind w:left="88" w:right="397"/>
              <w:rPr>
                <w:rFonts w:ascii="Avenir Black"/>
                <w:b/>
                <w:color w:val="FFFFFF"/>
                <w:spacing w:val="-2"/>
                <w:sz w:val="20"/>
              </w:rPr>
            </w:pPr>
            <w:r>
              <w:rPr>
                <w:rFonts w:ascii="Avenir Black"/>
                <w:b/>
                <w:color w:val="FFFFFF"/>
                <w:spacing w:val="-2"/>
                <w:sz w:val="20"/>
              </w:rPr>
              <w:t xml:space="preserve">Insurance </w:t>
            </w:r>
            <w:r>
              <w:rPr>
                <w:rFonts w:ascii="Avenir Black"/>
                <w:bCs/>
                <w:color w:val="FFFFFF"/>
                <w:spacing w:val="-2"/>
                <w:sz w:val="20"/>
              </w:rPr>
              <w:t>(per annum)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ABA0DCC" w14:textId="77777777" w:rsidR="00DE5B4D" w:rsidRDefault="00DE5B4D" w:rsidP="00974C75">
            <w:pPr>
              <w:pStyle w:val="TableParagraph"/>
              <w:spacing w:before="98" w:line="276" w:lineRule="auto"/>
              <w:ind w:left="88" w:right="397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2"/>
                <w:sz w:val="20"/>
              </w:rPr>
              <w:t xml:space="preserve">*Rateable </w:t>
            </w:r>
            <w:r>
              <w:rPr>
                <w:rFonts w:ascii="Avenir Black"/>
                <w:b/>
                <w:color w:val="FFFFFF"/>
                <w:spacing w:val="-4"/>
                <w:sz w:val="20"/>
              </w:rPr>
              <w:t>Value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EB012AA" w14:textId="77777777" w:rsidR="00DE5B4D" w:rsidRDefault="00DE5B4D" w:rsidP="00974C75">
            <w:pPr>
              <w:pStyle w:val="TableParagraph"/>
              <w:spacing w:before="90" w:line="276" w:lineRule="auto"/>
              <w:ind w:left="88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5"/>
                <w:sz w:val="20"/>
              </w:rPr>
              <w:t>EPC</w:t>
            </w:r>
          </w:p>
          <w:p w14:paraId="73C8EF80" w14:textId="77777777" w:rsidR="00DE5B4D" w:rsidRDefault="00DE5B4D" w:rsidP="00974C75">
            <w:pPr>
              <w:pStyle w:val="TableParagraph"/>
              <w:spacing w:line="276" w:lineRule="auto"/>
              <w:ind w:left="88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2"/>
                <w:sz w:val="20"/>
              </w:rPr>
              <w:t>Rating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E99097E" w14:textId="77777777" w:rsidR="00DE5B4D" w:rsidRDefault="00DE5B4D" w:rsidP="00974C75">
            <w:pPr>
              <w:pStyle w:val="TableParagraph"/>
              <w:spacing w:before="210" w:line="276" w:lineRule="auto"/>
              <w:ind w:left="86"/>
              <w:rPr>
                <w:rFonts w:ascii="Avenir Black"/>
                <w:b/>
                <w:sz w:val="20"/>
              </w:rPr>
            </w:pPr>
            <w:r>
              <w:rPr>
                <w:rFonts w:ascii="Avenir Black"/>
                <w:b/>
                <w:color w:val="FFFFFF"/>
                <w:spacing w:val="-2"/>
                <w:sz w:val="20"/>
              </w:rPr>
              <w:t>Comments</w:t>
            </w:r>
          </w:p>
        </w:tc>
      </w:tr>
      <w:tr w:rsidR="00DE5B4D" w14:paraId="6CC228BF" w14:textId="77777777" w:rsidTr="002C2324">
        <w:trPr>
          <w:trHeight w:val="851"/>
        </w:trPr>
        <w:tc>
          <w:tcPr>
            <w:tcW w:w="1990" w:type="dxa"/>
          </w:tcPr>
          <w:p w14:paraId="4822ABC7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 xml:space="preserve">Block 1, Unit </w:t>
            </w:r>
            <w:r>
              <w:rPr>
                <w:color w:val="435A69"/>
                <w:spacing w:val="-10"/>
                <w:sz w:val="20"/>
              </w:rPr>
              <w:t>4</w:t>
            </w:r>
          </w:p>
          <w:p w14:paraId="7524C2F6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>7</w:t>
            </w:r>
            <w:r>
              <w:rPr>
                <w:color w:val="435A69"/>
                <w:spacing w:val="-2"/>
                <w:sz w:val="20"/>
              </w:rPr>
              <w:t xml:space="preserve"> </w:t>
            </w:r>
            <w:r>
              <w:rPr>
                <w:color w:val="435A69"/>
                <w:sz w:val="20"/>
              </w:rPr>
              <w:t xml:space="preserve">Oakbank </w:t>
            </w:r>
            <w:r>
              <w:rPr>
                <w:color w:val="435A69"/>
                <w:spacing w:val="-2"/>
                <w:sz w:val="20"/>
              </w:rPr>
              <w:t>Street</w:t>
            </w:r>
          </w:p>
        </w:tc>
        <w:tc>
          <w:tcPr>
            <w:tcW w:w="987" w:type="dxa"/>
          </w:tcPr>
          <w:p w14:paraId="1E58571F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pacing w:val="-5"/>
                <w:sz w:val="20"/>
              </w:rPr>
              <w:t>861</w:t>
            </w:r>
          </w:p>
        </w:tc>
        <w:tc>
          <w:tcPr>
            <w:tcW w:w="992" w:type="dxa"/>
          </w:tcPr>
          <w:p w14:paraId="3E130E90" w14:textId="7AE3DDE4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79.98</w:t>
            </w:r>
          </w:p>
        </w:tc>
        <w:tc>
          <w:tcPr>
            <w:tcW w:w="1418" w:type="dxa"/>
          </w:tcPr>
          <w:p w14:paraId="7C227D08" w14:textId="77777777" w:rsidR="00DE5B4D" w:rsidRDefault="00DE5B4D" w:rsidP="00974C75">
            <w:pPr>
              <w:pStyle w:val="TableParagraph"/>
              <w:spacing w:line="276" w:lineRule="auto"/>
              <w:ind w:left="79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£12,000</w:t>
            </w:r>
          </w:p>
        </w:tc>
        <w:tc>
          <w:tcPr>
            <w:tcW w:w="1417" w:type="dxa"/>
          </w:tcPr>
          <w:p w14:paraId="52238A20" w14:textId="145BEBBC" w:rsidR="00DE5B4D" w:rsidRDefault="00DE5B4D" w:rsidP="00974C75">
            <w:pPr>
              <w:pStyle w:val="TableParagraph"/>
              <w:spacing w:line="276" w:lineRule="auto"/>
              <w:ind w:left="79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£1,</w:t>
            </w:r>
            <w:r w:rsidR="007B6F8A">
              <w:rPr>
                <w:color w:val="435A69"/>
                <w:spacing w:val="-2"/>
                <w:sz w:val="20"/>
              </w:rPr>
              <w:t>173</w:t>
            </w:r>
          </w:p>
        </w:tc>
        <w:tc>
          <w:tcPr>
            <w:tcW w:w="1560" w:type="dxa"/>
          </w:tcPr>
          <w:p w14:paraId="3876CEF5" w14:textId="0ED9F977" w:rsidR="00DE5B4D" w:rsidRDefault="00DE5B4D" w:rsidP="00974C75">
            <w:pPr>
              <w:pStyle w:val="TableParagraph"/>
              <w:spacing w:line="276" w:lineRule="auto"/>
              <w:ind w:left="78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£186</w:t>
            </w:r>
          </w:p>
        </w:tc>
        <w:tc>
          <w:tcPr>
            <w:tcW w:w="1417" w:type="dxa"/>
          </w:tcPr>
          <w:p w14:paraId="40EE64F8" w14:textId="77777777" w:rsidR="00DE5B4D" w:rsidRDefault="00DE5B4D" w:rsidP="00974C75">
            <w:pPr>
              <w:pStyle w:val="TableParagraph"/>
              <w:spacing w:line="276" w:lineRule="auto"/>
              <w:ind w:left="78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£9,600</w:t>
            </w:r>
          </w:p>
        </w:tc>
        <w:tc>
          <w:tcPr>
            <w:tcW w:w="714" w:type="dxa"/>
          </w:tcPr>
          <w:p w14:paraId="14A46160" w14:textId="6398913E" w:rsidR="00DE5B4D" w:rsidRPr="00DC1C43" w:rsidRDefault="00D22F07" w:rsidP="00D22F07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color w:val="435A69"/>
                <w:spacing w:val="-10"/>
                <w:sz w:val="20"/>
              </w:rPr>
              <w:t xml:space="preserve"> </w:t>
            </w:r>
            <w:r w:rsidR="00DE5B4D" w:rsidRPr="00DC1C43">
              <w:rPr>
                <w:color w:val="435A69"/>
                <w:spacing w:val="-10"/>
                <w:sz w:val="20"/>
              </w:rPr>
              <w:t>G</w:t>
            </w:r>
          </w:p>
        </w:tc>
        <w:tc>
          <w:tcPr>
            <w:tcW w:w="4389" w:type="dxa"/>
          </w:tcPr>
          <w:p w14:paraId="01386D35" w14:textId="4BAEB248" w:rsidR="00DE5B4D" w:rsidRPr="00DE5B4D" w:rsidRDefault="00DC1C43" w:rsidP="00974C75">
            <w:pPr>
              <w:pStyle w:val="TableParagraph"/>
              <w:spacing w:line="276" w:lineRule="auto"/>
              <w:ind w:left="76"/>
              <w:rPr>
                <w:sz w:val="20"/>
                <w:highlight w:val="yellow"/>
              </w:rPr>
            </w:pPr>
            <w:r w:rsidRPr="00DC1C43">
              <w:rPr>
                <w:color w:val="435A69"/>
                <w:sz w:val="20"/>
              </w:rPr>
              <w:t>Mid-</w:t>
            </w:r>
            <w:r w:rsidR="00DE5B4D" w:rsidRPr="00DC1C43">
              <w:rPr>
                <w:color w:val="435A69"/>
                <w:sz w:val="20"/>
              </w:rPr>
              <w:t xml:space="preserve">terraced </w:t>
            </w:r>
            <w:r w:rsidRPr="00DC1C43">
              <w:rPr>
                <w:color w:val="435A69"/>
                <w:sz w:val="20"/>
              </w:rPr>
              <w:t xml:space="preserve">industrial </w:t>
            </w:r>
            <w:r w:rsidR="00DE5B4D" w:rsidRPr="00DC1C43">
              <w:rPr>
                <w:color w:val="435A69"/>
                <w:sz w:val="20"/>
              </w:rPr>
              <w:t>unit. Available</w:t>
            </w:r>
            <w:r w:rsidR="00DE5B4D" w:rsidRPr="00DC1C43">
              <w:rPr>
                <w:color w:val="435A69"/>
                <w:spacing w:val="-14"/>
                <w:sz w:val="20"/>
              </w:rPr>
              <w:t xml:space="preserve"> </w:t>
            </w:r>
            <w:r w:rsidR="00DE5B4D" w:rsidRPr="00DC1C43">
              <w:rPr>
                <w:color w:val="435A69"/>
                <w:sz w:val="20"/>
              </w:rPr>
              <w:t>for</w:t>
            </w:r>
            <w:r w:rsidR="00DE5B4D" w:rsidRPr="00DC1C43">
              <w:rPr>
                <w:color w:val="435A69"/>
                <w:spacing w:val="-14"/>
                <w:sz w:val="20"/>
              </w:rPr>
              <w:t xml:space="preserve"> </w:t>
            </w:r>
            <w:r w:rsidR="00DE5B4D" w:rsidRPr="00DC1C43">
              <w:rPr>
                <w:color w:val="435A69"/>
                <w:sz w:val="20"/>
              </w:rPr>
              <w:t>immediate</w:t>
            </w:r>
            <w:r w:rsidR="00DE5B4D" w:rsidRPr="00DC1C43">
              <w:rPr>
                <w:color w:val="435A69"/>
                <w:spacing w:val="-14"/>
                <w:sz w:val="20"/>
              </w:rPr>
              <w:t xml:space="preserve"> </w:t>
            </w:r>
            <w:r w:rsidR="00DE5B4D" w:rsidRPr="00DC1C43">
              <w:rPr>
                <w:color w:val="435A69"/>
                <w:sz w:val="20"/>
              </w:rPr>
              <w:t>occupation.</w:t>
            </w:r>
            <w:r w:rsidR="002C2324">
              <w:rPr>
                <w:color w:val="435A69"/>
                <w:sz w:val="20"/>
              </w:rPr>
              <w:t xml:space="preserve"> 100% small business rates relief available to qualifying businesses. </w:t>
            </w:r>
          </w:p>
        </w:tc>
      </w:tr>
      <w:tr w:rsidR="00DE5B4D" w14:paraId="205669A8" w14:textId="77777777" w:rsidTr="002C2324">
        <w:trPr>
          <w:trHeight w:val="851"/>
        </w:trPr>
        <w:tc>
          <w:tcPr>
            <w:tcW w:w="1990" w:type="dxa"/>
            <w:shd w:val="clear" w:color="auto" w:fill="FFC000"/>
          </w:tcPr>
          <w:p w14:paraId="6EA8EFD1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 xml:space="preserve">Block 4, Unit </w:t>
            </w:r>
            <w:r>
              <w:rPr>
                <w:color w:val="435A69"/>
                <w:spacing w:val="-10"/>
                <w:sz w:val="20"/>
              </w:rPr>
              <w:t>1</w:t>
            </w:r>
          </w:p>
          <w:p w14:paraId="620515B1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>18</w:t>
            </w:r>
            <w:r>
              <w:rPr>
                <w:color w:val="435A69"/>
                <w:spacing w:val="-2"/>
                <w:sz w:val="20"/>
              </w:rPr>
              <w:t xml:space="preserve"> </w:t>
            </w:r>
            <w:r>
              <w:rPr>
                <w:color w:val="435A69"/>
                <w:sz w:val="20"/>
              </w:rPr>
              <w:t xml:space="preserve">Oakbank </w:t>
            </w:r>
            <w:r>
              <w:rPr>
                <w:color w:val="435A69"/>
                <w:spacing w:val="-2"/>
                <w:sz w:val="20"/>
              </w:rPr>
              <w:t>Street</w:t>
            </w:r>
          </w:p>
        </w:tc>
        <w:tc>
          <w:tcPr>
            <w:tcW w:w="987" w:type="dxa"/>
            <w:shd w:val="clear" w:color="auto" w:fill="FFC000"/>
          </w:tcPr>
          <w:p w14:paraId="781E0F60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1,931</w:t>
            </w:r>
          </w:p>
        </w:tc>
        <w:tc>
          <w:tcPr>
            <w:tcW w:w="992" w:type="dxa"/>
            <w:shd w:val="clear" w:color="auto" w:fill="FFC000"/>
          </w:tcPr>
          <w:p w14:paraId="3440BB2E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179.4</w:t>
            </w:r>
          </w:p>
        </w:tc>
        <w:tc>
          <w:tcPr>
            <w:tcW w:w="1418" w:type="dxa"/>
            <w:shd w:val="clear" w:color="auto" w:fill="FFC000"/>
          </w:tcPr>
          <w:p w14:paraId="32599D5E" w14:textId="77777777" w:rsidR="00DE5B4D" w:rsidRDefault="00DE5B4D" w:rsidP="00974C75">
            <w:pPr>
              <w:pStyle w:val="TableParagraph"/>
              <w:spacing w:line="276" w:lineRule="auto"/>
              <w:ind w:left="79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£25,000</w:t>
            </w:r>
          </w:p>
        </w:tc>
        <w:tc>
          <w:tcPr>
            <w:tcW w:w="1417" w:type="dxa"/>
            <w:shd w:val="clear" w:color="auto" w:fill="FFC000"/>
          </w:tcPr>
          <w:p w14:paraId="32F6E7D4" w14:textId="3C51A7AF" w:rsid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£2,</w:t>
            </w:r>
            <w:r w:rsidR="007B6F8A">
              <w:rPr>
                <w:color w:val="435A69"/>
                <w:spacing w:val="-2"/>
                <w:sz w:val="20"/>
              </w:rPr>
              <w:t>629</w:t>
            </w:r>
          </w:p>
        </w:tc>
        <w:tc>
          <w:tcPr>
            <w:tcW w:w="1560" w:type="dxa"/>
            <w:shd w:val="clear" w:color="auto" w:fill="FFC000"/>
          </w:tcPr>
          <w:p w14:paraId="45289133" w14:textId="3F675E9D" w:rsidR="00DE5B4D" w:rsidRDefault="005F7E58" w:rsidP="00974C75">
            <w:pPr>
              <w:pStyle w:val="TableParagraph"/>
              <w:spacing w:line="276" w:lineRule="auto"/>
              <w:ind w:left="78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£543</w:t>
            </w:r>
          </w:p>
        </w:tc>
        <w:tc>
          <w:tcPr>
            <w:tcW w:w="1417" w:type="dxa"/>
            <w:shd w:val="clear" w:color="auto" w:fill="FFC000"/>
          </w:tcPr>
          <w:p w14:paraId="40571B8F" w14:textId="77777777" w:rsidR="00DE5B4D" w:rsidRDefault="00DE5B4D" w:rsidP="00974C75">
            <w:pPr>
              <w:pStyle w:val="TableParagraph"/>
              <w:spacing w:line="276" w:lineRule="auto"/>
              <w:ind w:left="78"/>
              <w:rPr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£17,700</w:t>
            </w:r>
          </w:p>
        </w:tc>
        <w:tc>
          <w:tcPr>
            <w:tcW w:w="714" w:type="dxa"/>
            <w:shd w:val="clear" w:color="auto" w:fill="FFC000"/>
          </w:tcPr>
          <w:p w14:paraId="68C9021B" w14:textId="77777777" w:rsidR="00DE5B4D" w:rsidRPr="00DC1C43" w:rsidRDefault="00DE5B4D" w:rsidP="00974C75">
            <w:pPr>
              <w:pStyle w:val="TableParagraph"/>
              <w:spacing w:line="276" w:lineRule="auto"/>
              <w:ind w:left="78"/>
              <w:rPr>
                <w:sz w:val="20"/>
              </w:rPr>
            </w:pPr>
            <w:r w:rsidRPr="00DC1C43">
              <w:rPr>
                <w:color w:val="435A69"/>
                <w:spacing w:val="-10"/>
                <w:sz w:val="20"/>
              </w:rPr>
              <w:t>B</w:t>
            </w:r>
          </w:p>
        </w:tc>
        <w:tc>
          <w:tcPr>
            <w:tcW w:w="4389" w:type="dxa"/>
            <w:shd w:val="clear" w:color="auto" w:fill="FFC000"/>
          </w:tcPr>
          <w:p w14:paraId="0262B8C1" w14:textId="182D643B" w:rsidR="00DE5B4D" w:rsidRP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  <w:highlight w:val="yellow"/>
              </w:rPr>
            </w:pPr>
            <w:r>
              <w:rPr>
                <w:color w:val="435A69"/>
                <w:sz w:val="20"/>
              </w:rPr>
              <w:t xml:space="preserve"> </w:t>
            </w:r>
            <w:r w:rsidR="0051781D">
              <w:rPr>
                <w:color w:val="435A69"/>
                <w:sz w:val="20"/>
              </w:rPr>
              <w:t>Under Offer</w:t>
            </w:r>
          </w:p>
        </w:tc>
      </w:tr>
      <w:tr w:rsidR="00DE5B4D" w14:paraId="07FC61FD" w14:textId="77777777" w:rsidTr="002C2324">
        <w:trPr>
          <w:trHeight w:val="851"/>
        </w:trPr>
        <w:tc>
          <w:tcPr>
            <w:tcW w:w="1990" w:type="dxa"/>
          </w:tcPr>
          <w:p w14:paraId="2E200596" w14:textId="02F79D1B" w:rsidR="00DE5B4D" w:rsidRDefault="00DE5B4D" w:rsidP="00974C75">
            <w:pPr>
              <w:pStyle w:val="TableParagraph"/>
              <w:spacing w:line="276" w:lineRule="auto"/>
              <w:rPr>
                <w:color w:val="435A69"/>
                <w:sz w:val="20"/>
              </w:rPr>
            </w:pPr>
            <w:r>
              <w:rPr>
                <w:color w:val="435A69"/>
                <w:sz w:val="20"/>
              </w:rPr>
              <w:t>Block 5, Unit 4</w:t>
            </w:r>
            <w:r w:rsidR="0051781D">
              <w:rPr>
                <w:color w:val="435A69"/>
                <w:sz w:val="20"/>
              </w:rPr>
              <w:t>-5</w:t>
            </w:r>
          </w:p>
          <w:p w14:paraId="1D8314C6" w14:textId="6FD3DB6C" w:rsidR="00DE5B4D" w:rsidRDefault="00DE5B4D" w:rsidP="00974C75">
            <w:pPr>
              <w:pStyle w:val="TableParagraph"/>
              <w:spacing w:line="276" w:lineRule="auto"/>
              <w:rPr>
                <w:color w:val="435A69"/>
                <w:sz w:val="20"/>
              </w:rPr>
            </w:pPr>
            <w:r>
              <w:rPr>
                <w:color w:val="435A69"/>
                <w:sz w:val="20"/>
              </w:rPr>
              <w:t>36</w:t>
            </w:r>
            <w:r w:rsidR="0051781D">
              <w:rPr>
                <w:color w:val="435A69"/>
                <w:sz w:val="20"/>
              </w:rPr>
              <w:t>-38</w:t>
            </w:r>
            <w:r>
              <w:rPr>
                <w:color w:val="435A69"/>
                <w:sz w:val="20"/>
              </w:rPr>
              <w:t xml:space="preserve"> Oakbank Street</w:t>
            </w:r>
          </w:p>
        </w:tc>
        <w:tc>
          <w:tcPr>
            <w:tcW w:w="987" w:type="dxa"/>
          </w:tcPr>
          <w:p w14:paraId="48C0BC22" w14:textId="4E195FDF" w:rsidR="00DE5B4D" w:rsidRDefault="002C2324" w:rsidP="00974C75">
            <w:pPr>
              <w:pStyle w:val="TableParagraph"/>
              <w:spacing w:line="276" w:lineRule="auto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 xml:space="preserve">1,852- </w:t>
            </w:r>
            <w:r w:rsidR="0051781D">
              <w:rPr>
                <w:color w:val="435A69"/>
                <w:spacing w:val="-2"/>
                <w:sz w:val="20"/>
              </w:rPr>
              <w:t>3,710</w:t>
            </w:r>
          </w:p>
        </w:tc>
        <w:tc>
          <w:tcPr>
            <w:tcW w:w="992" w:type="dxa"/>
          </w:tcPr>
          <w:p w14:paraId="24FE33C7" w14:textId="2D911DEA" w:rsidR="00DE5B4D" w:rsidRDefault="00DE5B4D" w:rsidP="00974C75">
            <w:pPr>
              <w:pStyle w:val="TableParagraph"/>
              <w:spacing w:line="276" w:lineRule="auto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172.05</w:t>
            </w:r>
            <w:r w:rsidR="002C2324">
              <w:rPr>
                <w:color w:val="435A69"/>
                <w:spacing w:val="-2"/>
                <w:sz w:val="20"/>
              </w:rPr>
              <w:t xml:space="preserve"> – 344.67</w:t>
            </w:r>
          </w:p>
        </w:tc>
        <w:tc>
          <w:tcPr>
            <w:tcW w:w="1418" w:type="dxa"/>
          </w:tcPr>
          <w:p w14:paraId="47152173" w14:textId="0F8B9422" w:rsidR="00DE5B4D" w:rsidRDefault="002C2324" w:rsidP="00974C75">
            <w:pPr>
              <w:pStyle w:val="TableParagraph"/>
              <w:spacing w:line="276" w:lineRule="auto"/>
              <w:ind w:left="79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>Starting from £16,000</w:t>
            </w:r>
          </w:p>
        </w:tc>
        <w:tc>
          <w:tcPr>
            <w:tcW w:w="1417" w:type="dxa"/>
          </w:tcPr>
          <w:p w14:paraId="10B10F8C" w14:textId="1B2DB0FA" w:rsidR="00DE5B4D" w:rsidRDefault="002C2324" w:rsidP="00974C75">
            <w:pPr>
              <w:pStyle w:val="TableParagraph"/>
              <w:spacing w:line="276" w:lineRule="auto"/>
              <w:ind w:left="79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 xml:space="preserve">£2,505 - </w:t>
            </w:r>
            <w:r w:rsidR="00DE5B4D">
              <w:rPr>
                <w:color w:val="435A69"/>
                <w:spacing w:val="-2"/>
                <w:sz w:val="20"/>
              </w:rPr>
              <w:t>£</w:t>
            </w:r>
            <w:r w:rsidR="0051781D">
              <w:rPr>
                <w:color w:val="435A69"/>
                <w:spacing w:val="-2"/>
                <w:sz w:val="20"/>
              </w:rPr>
              <w:t>5,033</w:t>
            </w:r>
          </w:p>
        </w:tc>
        <w:tc>
          <w:tcPr>
            <w:tcW w:w="1560" w:type="dxa"/>
          </w:tcPr>
          <w:p w14:paraId="73AE2E5F" w14:textId="1652C8D3" w:rsidR="00DE5B4D" w:rsidRDefault="002C2324" w:rsidP="00974C75">
            <w:pPr>
              <w:pStyle w:val="TableParagraph"/>
              <w:spacing w:line="276" w:lineRule="auto"/>
              <w:ind w:left="78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 xml:space="preserve">£390 - </w:t>
            </w:r>
            <w:r w:rsidR="00DE5B4D">
              <w:rPr>
                <w:color w:val="435A69"/>
                <w:spacing w:val="-2"/>
                <w:sz w:val="20"/>
              </w:rPr>
              <w:t>£</w:t>
            </w:r>
            <w:r w:rsidR="0051781D">
              <w:rPr>
                <w:color w:val="435A69"/>
                <w:spacing w:val="-2"/>
                <w:sz w:val="20"/>
              </w:rPr>
              <w:t>785</w:t>
            </w:r>
          </w:p>
        </w:tc>
        <w:tc>
          <w:tcPr>
            <w:tcW w:w="1417" w:type="dxa"/>
          </w:tcPr>
          <w:p w14:paraId="7C35DB68" w14:textId="3B79F9BB" w:rsidR="00DE5B4D" w:rsidRDefault="008B4938" w:rsidP="00974C75">
            <w:pPr>
              <w:pStyle w:val="TableParagraph"/>
              <w:spacing w:line="276" w:lineRule="auto"/>
              <w:ind w:left="78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 xml:space="preserve">From </w:t>
            </w:r>
            <w:r w:rsidR="002C2324">
              <w:rPr>
                <w:color w:val="435A69"/>
                <w:spacing w:val="-2"/>
                <w:sz w:val="20"/>
              </w:rPr>
              <w:t xml:space="preserve">£17,400 </w:t>
            </w:r>
          </w:p>
        </w:tc>
        <w:tc>
          <w:tcPr>
            <w:tcW w:w="714" w:type="dxa"/>
          </w:tcPr>
          <w:p w14:paraId="392F3060" w14:textId="09D3E3E7" w:rsidR="00DE5B4D" w:rsidRPr="00DE5B4D" w:rsidRDefault="0051781D" w:rsidP="00974C75">
            <w:pPr>
              <w:pStyle w:val="TableParagraph"/>
              <w:spacing w:line="276" w:lineRule="auto"/>
              <w:ind w:left="78"/>
              <w:rPr>
                <w:color w:val="435A69"/>
                <w:spacing w:val="-5"/>
                <w:sz w:val="20"/>
                <w:highlight w:val="yellow"/>
              </w:rPr>
            </w:pPr>
            <w:r>
              <w:rPr>
                <w:color w:val="435A69"/>
                <w:spacing w:val="-5"/>
                <w:sz w:val="20"/>
              </w:rPr>
              <w:t>D</w:t>
            </w:r>
          </w:p>
        </w:tc>
        <w:tc>
          <w:tcPr>
            <w:tcW w:w="4389" w:type="dxa"/>
          </w:tcPr>
          <w:p w14:paraId="625F95A2" w14:textId="2EB252E7" w:rsidR="00DE5B4D" w:rsidRPr="00DE5B4D" w:rsidRDefault="00DC1C43" w:rsidP="00974C75">
            <w:pPr>
              <w:pStyle w:val="TableParagraph"/>
              <w:spacing w:line="276" w:lineRule="auto"/>
              <w:ind w:left="76"/>
              <w:rPr>
                <w:color w:val="435A69"/>
                <w:sz w:val="20"/>
                <w:highlight w:val="yellow"/>
              </w:rPr>
            </w:pPr>
            <w:r w:rsidRPr="00DC1C43">
              <w:rPr>
                <w:color w:val="435A69"/>
                <w:sz w:val="20"/>
              </w:rPr>
              <w:t>Mid-terrace industrial unit</w:t>
            </w:r>
            <w:r w:rsidR="002C2324">
              <w:rPr>
                <w:color w:val="435A69"/>
                <w:sz w:val="20"/>
              </w:rPr>
              <w:t>(s)</w:t>
            </w:r>
            <w:r w:rsidR="006F6C7E">
              <w:rPr>
                <w:color w:val="435A69"/>
                <w:sz w:val="20"/>
              </w:rPr>
              <w:t xml:space="preserve">. Available </w:t>
            </w:r>
            <w:r w:rsidR="002C2324">
              <w:rPr>
                <w:color w:val="435A69"/>
                <w:sz w:val="20"/>
              </w:rPr>
              <w:t xml:space="preserve">together or separately for immediate occupation. </w:t>
            </w:r>
          </w:p>
        </w:tc>
      </w:tr>
      <w:tr w:rsidR="00DE5B4D" w14:paraId="05273811" w14:textId="77777777" w:rsidTr="002C2324">
        <w:trPr>
          <w:trHeight w:val="851"/>
        </w:trPr>
        <w:tc>
          <w:tcPr>
            <w:tcW w:w="1990" w:type="dxa"/>
          </w:tcPr>
          <w:p w14:paraId="7E5981C5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 xml:space="preserve">Block 8, Unit </w:t>
            </w:r>
            <w:r>
              <w:rPr>
                <w:color w:val="435A69"/>
                <w:spacing w:val="-10"/>
                <w:sz w:val="20"/>
              </w:rPr>
              <w:t>2</w:t>
            </w:r>
          </w:p>
          <w:p w14:paraId="4AD44BC4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>23</w:t>
            </w:r>
            <w:r>
              <w:rPr>
                <w:color w:val="435A69"/>
                <w:spacing w:val="-2"/>
                <w:sz w:val="20"/>
              </w:rPr>
              <w:t xml:space="preserve"> </w:t>
            </w:r>
            <w:r>
              <w:rPr>
                <w:color w:val="435A69"/>
                <w:sz w:val="20"/>
              </w:rPr>
              <w:t xml:space="preserve">Oakbank </w:t>
            </w:r>
            <w:r>
              <w:rPr>
                <w:color w:val="435A69"/>
                <w:spacing w:val="-2"/>
                <w:sz w:val="20"/>
              </w:rPr>
              <w:t>Street</w:t>
            </w:r>
          </w:p>
        </w:tc>
        <w:tc>
          <w:tcPr>
            <w:tcW w:w="987" w:type="dxa"/>
          </w:tcPr>
          <w:p w14:paraId="2F0B8E1E" w14:textId="78DC004C" w:rsid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4,674</w:t>
            </w:r>
          </w:p>
        </w:tc>
        <w:tc>
          <w:tcPr>
            <w:tcW w:w="992" w:type="dxa"/>
          </w:tcPr>
          <w:p w14:paraId="6BB3EE3F" w14:textId="2B0452A8" w:rsid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434.2</w:t>
            </w:r>
          </w:p>
        </w:tc>
        <w:tc>
          <w:tcPr>
            <w:tcW w:w="1418" w:type="dxa"/>
          </w:tcPr>
          <w:p w14:paraId="3D474E24" w14:textId="5FE3B200" w:rsid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£53,000</w:t>
            </w:r>
          </w:p>
        </w:tc>
        <w:tc>
          <w:tcPr>
            <w:tcW w:w="1417" w:type="dxa"/>
          </w:tcPr>
          <w:p w14:paraId="1951D026" w14:textId="3D3081F7" w:rsid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</w:t>
            </w:r>
            <w:r w:rsidR="007B6F8A">
              <w:rPr>
                <w:color w:val="435A69"/>
                <w:spacing w:val="-2"/>
                <w:sz w:val="20"/>
              </w:rPr>
              <w:t>6,290</w:t>
            </w:r>
          </w:p>
        </w:tc>
        <w:tc>
          <w:tcPr>
            <w:tcW w:w="1560" w:type="dxa"/>
          </w:tcPr>
          <w:p w14:paraId="72AB0B28" w14:textId="7DCA746A" w:rsidR="005F7E58" w:rsidRDefault="00412B53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7E58">
              <w:rPr>
                <w:color w:val="435A69"/>
                <w:spacing w:val="-2"/>
                <w:sz w:val="20"/>
              </w:rPr>
              <w:t>£880</w:t>
            </w:r>
          </w:p>
        </w:tc>
        <w:tc>
          <w:tcPr>
            <w:tcW w:w="1417" w:type="dxa"/>
          </w:tcPr>
          <w:p w14:paraId="462E12A1" w14:textId="5AE0F1BB" w:rsidR="00DE5B4D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£47,000</w:t>
            </w:r>
          </w:p>
        </w:tc>
        <w:tc>
          <w:tcPr>
            <w:tcW w:w="714" w:type="dxa"/>
          </w:tcPr>
          <w:p w14:paraId="7F990201" w14:textId="02A66A14" w:rsidR="00DE5B4D" w:rsidRPr="00DC1C43" w:rsidRDefault="00412B53" w:rsidP="00412B53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 w:rsidRPr="00DC1C43">
              <w:rPr>
                <w:color w:val="435A69"/>
                <w:spacing w:val="-10"/>
                <w:sz w:val="20"/>
              </w:rPr>
              <w:t>A</w:t>
            </w:r>
          </w:p>
        </w:tc>
        <w:tc>
          <w:tcPr>
            <w:tcW w:w="4389" w:type="dxa"/>
          </w:tcPr>
          <w:p w14:paraId="2BEED9D3" w14:textId="77777777" w:rsidR="00DE5B4D" w:rsidRPr="00DC1C43" w:rsidRDefault="00DE5B4D" w:rsidP="00974C75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r w:rsidRPr="00DC1C43">
              <w:rPr>
                <w:color w:val="435A69"/>
                <w:sz w:val="20"/>
              </w:rPr>
              <w:t>Newly refurbished, semi-detached unit overlooking Garscube Road. Available</w:t>
            </w:r>
            <w:r w:rsidRPr="00DC1C43">
              <w:rPr>
                <w:color w:val="435A69"/>
                <w:spacing w:val="-14"/>
                <w:sz w:val="20"/>
              </w:rPr>
              <w:t xml:space="preserve"> </w:t>
            </w:r>
            <w:r w:rsidRPr="00DC1C43">
              <w:rPr>
                <w:color w:val="435A69"/>
                <w:sz w:val="20"/>
              </w:rPr>
              <w:t>for</w:t>
            </w:r>
            <w:r w:rsidRPr="00DC1C43">
              <w:rPr>
                <w:color w:val="435A69"/>
                <w:spacing w:val="-14"/>
                <w:sz w:val="20"/>
              </w:rPr>
              <w:t xml:space="preserve"> </w:t>
            </w:r>
            <w:r w:rsidRPr="00DC1C43">
              <w:rPr>
                <w:color w:val="435A69"/>
                <w:sz w:val="20"/>
              </w:rPr>
              <w:t>immediate</w:t>
            </w:r>
            <w:r w:rsidRPr="00DC1C43">
              <w:rPr>
                <w:color w:val="435A69"/>
                <w:spacing w:val="-14"/>
                <w:sz w:val="20"/>
              </w:rPr>
              <w:t xml:space="preserve"> </w:t>
            </w:r>
            <w:r w:rsidRPr="00DC1C43">
              <w:rPr>
                <w:color w:val="435A69"/>
                <w:sz w:val="20"/>
              </w:rPr>
              <w:t>occupation.</w:t>
            </w:r>
          </w:p>
        </w:tc>
      </w:tr>
      <w:tr w:rsidR="00DE5B4D" w14:paraId="6D7D2257" w14:textId="77777777" w:rsidTr="002C2324">
        <w:trPr>
          <w:trHeight w:val="851"/>
        </w:trPr>
        <w:tc>
          <w:tcPr>
            <w:tcW w:w="1990" w:type="dxa"/>
            <w:shd w:val="clear" w:color="auto" w:fill="FFC000"/>
          </w:tcPr>
          <w:p w14:paraId="7A3E1E12" w14:textId="43198267" w:rsidR="00DE5B4D" w:rsidRDefault="003E2CE8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E5B4D">
              <w:rPr>
                <w:color w:val="435A69"/>
                <w:sz w:val="20"/>
              </w:rPr>
              <w:t xml:space="preserve">Block </w:t>
            </w:r>
            <w:r w:rsidR="00DE5B4D">
              <w:rPr>
                <w:color w:val="435A69"/>
                <w:spacing w:val="-10"/>
                <w:sz w:val="20"/>
              </w:rPr>
              <w:t>9</w:t>
            </w:r>
          </w:p>
          <w:p w14:paraId="3C149512" w14:textId="77777777" w:rsidR="00DE5B4D" w:rsidRDefault="00DE5B4D" w:rsidP="00974C7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color w:val="435A69"/>
                <w:sz w:val="20"/>
              </w:rPr>
              <w:t>25</w:t>
            </w:r>
            <w:r>
              <w:rPr>
                <w:color w:val="435A69"/>
                <w:spacing w:val="-2"/>
                <w:sz w:val="20"/>
              </w:rPr>
              <w:t xml:space="preserve"> </w:t>
            </w:r>
            <w:r>
              <w:rPr>
                <w:color w:val="435A69"/>
                <w:sz w:val="20"/>
              </w:rPr>
              <w:t xml:space="preserve">Oakbank </w:t>
            </w:r>
            <w:r>
              <w:rPr>
                <w:color w:val="435A69"/>
                <w:spacing w:val="-2"/>
                <w:sz w:val="20"/>
              </w:rPr>
              <w:t>Street</w:t>
            </w:r>
          </w:p>
        </w:tc>
        <w:tc>
          <w:tcPr>
            <w:tcW w:w="987" w:type="dxa"/>
            <w:shd w:val="clear" w:color="auto" w:fill="FFC000"/>
          </w:tcPr>
          <w:p w14:paraId="47123B27" w14:textId="4CA13E46" w:rsidR="00DE5B4D" w:rsidRDefault="00412B53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11,764</w:t>
            </w:r>
          </w:p>
        </w:tc>
        <w:tc>
          <w:tcPr>
            <w:tcW w:w="992" w:type="dxa"/>
            <w:shd w:val="clear" w:color="auto" w:fill="FFC000"/>
          </w:tcPr>
          <w:p w14:paraId="7F2E9AE1" w14:textId="608AF55C" w:rsidR="00DE5B4D" w:rsidRDefault="00412B53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1,092.9</w:t>
            </w:r>
          </w:p>
        </w:tc>
        <w:tc>
          <w:tcPr>
            <w:tcW w:w="1418" w:type="dxa"/>
            <w:shd w:val="clear" w:color="auto" w:fill="FFC000"/>
          </w:tcPr>
          <w:p w14:paraId="1112B187" w14:textId="16EBB046" w:rsidR="00DE5B4D" w:rsidRDefault="00412B53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£95,000</w:t>
            </w:r>
          </w:p>
        </w:tc>
        <w:tc>
          <w:tcPr>
            <w:tcW w:w="1417" w:type="dxa"/>
            <w:shd w:val="clear" w:color="auto" w:fill="FFC000"/>
          </w:tcPr>
          <w:p w14:paraId="1F577160" w14:textId="34E42881" w:rsidR="00DE5B4D" w:rsidRDefault="00412B53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£1</w:t>
            </w:r>
            <w:r w:rsidR="007B6F8A">
              <w:rPr>
                <w:color w:val="435A69"/>
                <w:spacing w:val="-2"/>
                <w:sz w:val="20"/>
              </w:rPr>
              <w:t>6,075</w:t>
            </w:r>
          </w:p>
        </w:tc>
        <w:tc>
          <w:tcPr>
            <w:tcW w:w="1560" w:type="dxa"/>
            <w:shd w:val="clear" w:color="auto" w:fill="FFC000"/>
          </w:tcPr>
          <w:p w14:paraId="78A53242" w14:textId="2FF2AFCF" w:rsidR="00DE5B4D" w:rsidRPr="00412B53" w:rsidRDefault="005F7E58" w:rsidP="00974C75">
            <w:pPr>
              <w:pStyle w:val="TableParagraph"/>
              <w:spacing w:line="276" w:lineRule="auto"/>
              <w:ind w:left="0"/>
              <w:rPr>
                <w:color w:val="435A69"/>
                <w:spacing w:val="-2"/>
                <w:sz w:val="20"/>
              </w:rPr>
            </w:pPr>
            <w:r>
              <w:rPr>
                <w:color w:val="435A69"/>
                <w:spacing w:val="-2"/>
                <w:sz w:val="20"/>
              </w:rPr>
              <w:t xml:space="preserve"> £2,225</w:t>
            </w:r>
          </w:p>
        </w:tc>
        <w:tc>
          <w:tcPr>
            <w:tcW w:w="1417" w:type="dxa"/>
            <w:shd w:val="clear" w:color="auto" w:fill="FFC000"/>
          </w:tcPr>
          <w:p w14:paraId="557910DB" w14:textId="5F46D642" w:rsidR="00DE5B4D" w:rsidRDefault="00412B53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>
              <w:rPr>
                <w:color w:val="435A69"/>
                <w:spacing w:val="-2"/>
                <w:sz w:val="20"/>
              </w:rPr>
              <w:t>£87,000</w:t>
            </w:r>
          </w:p>
        </w:tc>
        <w:tc>
          <w:tcPr>
            <w:tcW w:w="714" w:type="dxa"/>
            <w:shd w:val="clear" w:color="auto" w:fill="FFC000"/>
          </w:tcPr>
          <w:p w14:paraId="2DF0155E" w14:textId="6CF3CB38" w:rsidR="00DE5B4D" w:rsidRPr="00DC1C43" w:rsidRDefault="001974CA" w:rsidP="00974C75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E5B4D" w:rsidRPr="00DC1C43">
              <w:rPr>
                <w:color w:val="435A69"/>
                <w:spacing w:val="-10"/>
                <w:sz w:val="20"/>
              </w:rPr>
              <w:t>C</w:t>
            </w:r>
          </w:p>
        </w:tc>
        <w:tc>
          <w:tcPr>
            <w:tcW w:w="4389" w:type="dxa"/>
            <w:shd w:val="clear" w:color="auto" w:fill="FFC000"/>
          </w:tcPr>
          <w:p w14:paraId="6E7083CC" w14:textId="4115B560" w:rsidR="0051781D" w:rsidRPr="0051781D" w:rsidRDefault="00412B53" w:rsidP="00974C75">
            <w:pPr>
              <w:pStyle w:val="TableParagraph"/>
              <w:spacing w:line="276" w:lineRule="auto"/>
              <w:ind w:left="0" w:right="132"/>
              <w:rPr>
                <w:color w:val="435A69"/>
                <w:sz w:val="20"/>
              </w:rPr>
            </w:pPr>
            <w:r>
              <w:rPr>
                <w:color w:val="435A69"/>
                <w:sz w:val="20"/>
              </w:rPr>
              <w:t xml:space="preserve"> </w:t>
            </w:r>
            <w:r w:rsidR="0051781D">
              <w:rPr>
                <w:color w:val="435A69"/>
                <w:sz w:val="20"/>
              </w:rPr>
              <w:t>Under Offer</w:t>
            </w:r>
          </w:p>
        </w:tc>
      </w:tr>
    </w:tbl>
    <w:p w14:paraId="55751E31" w14:textId="77777777" w:rsidR="00D751C3" w:rsidRDefault="00D751C3">
      <w:pPr>
        <w:pStyle w:val="BodyText"/>
        <w:spacing w:before="126"/>
        <w:ind w:left="0"/>
        <w:rPr>
          <w:rFonts w:ascii="Avenir Book"/>
          <w:sz w:val="20"/>
        </w:rPr>
      </w:pPr>
    </w:p>
    <w:p w14:paraId="36593D42" w14:textId="6EF9386B" w:rsidR="00D751C3" w:rsidRDefault="00DE5B4D" w:rsidP="00DE5B4D">
      <w:pPr>
        <w:pStyle w:val="BodyText"/>
        <w:spacing w:line="205" w:lineRule="exact"/>
        <w:ind w:left="0"/>
      </w:pPr>
      <w:r>
        <w:rPr>
          <w:rFonts w:ascii="Avenir Book"/>
          <w:sz w:val="22"/>
        </w:rPr>
        <w:t xml:space="preserve">  </w:t>
      </w:r>
      <w:r w:rsidR="003E2CE8">
        <w:rPr>
          <w:color w:val="435A69"/>
        </w:rPr>
        <w:t>Please</w:t>
      </w:r>
      <w:r w:rsidR="003E2CE8">
        <w:rPr>
          <w:color w:val="435A69"/>
          <w:spacing w:val="-6"/>
        </w:rPr>
        <w:t xml:space="preserve"> </w:t>
      </w:r>
      <w:r w:rsidR="003E2CE8">
        <w:rPr>
          <w:color w:val="435A69"/>
          <w:spacing w:val="-4"/>
        </w:rPr>
        <w:t>Note:</w:t>
      </w:r>
    </w:p>
    <w:p w14:paraId="188FDBE1" w14:textId="1A511A3F" w:rsidR="00D751C3" w:rsidRDefault="003E2CE8">
      <w:pPr>
        <w:pStyle w:val="BodyText"/>
        <w:spacing w:line="205" w:lineRule="exact"/>
      </w:pPr>
      <w:r>
        <w:rPr>
          <w:color w:val="435A69"/>
        </w:rPr>
        <w:t>These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details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do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not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constitute,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form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part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of,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vary,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or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seek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to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vary,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any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contract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or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unilateral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obligation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and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are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provided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for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information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purposes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only.</w:t>
      </w:r>
      <w:r>
        <w:rPr>
          <w:color w:val="435A69"/>
          <w:spacing w:val="-3"/>
        </w:rPr>
        <w:t xml:space="preserve"> </w:t>
      </w:r>
      <w:r w:rsidR="0051781D">
        <w:rPr>
          <w:color w:val="435A69"/>
        </w:rPr>
        <w:t>January 2024</w:t>
      </w:r>
    </w:p>
    <w:p w14:paraId="59DDF15B" w14:textId="32475664" w:rsidR="00DC1C43" w:rsidRDefault="003E2CE8">
      <w:pPr>
        <w:pStyle w:val="BodyText"/>
        <w:spacing w:before="185" w:line="211" w:lineRule="auto"/>
        <w:ind w:right="5461"/>
        <w:rPr>
          <w:color w:val="435A69"/>
          <w:spacing w:val="40"/>
        </w:rPr>
      </w:pPr>
      <w:r>
        <w:rPr>
          <w:color w:val="435A69"/>
        </w:rPr>
        <w:t>Service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Charge: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budgeted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at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a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rate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of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£1.</w:t>
      </w:r>
      <w:r w:rsidR="007B6F8A">
        <w:rPr>
          <w:color w:val="435A69"/>
        </w:rPr>
        <w:t>36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per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sq.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ft.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per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annum.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(Service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charge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year,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11/11/202</w:t>
      </w:r>
      <w:r w:rsidR="007B6F8A">
        <w:rPr>
          <w:color w:val="435A69"/>
        </w:rPr>
        <w:t>3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to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10/11/202</w:t>
      </w:r>
      <w:r w:rsidR="007B6F8A">
        <w:rPr>
          <w:color w:val="435A69"/>
        </w:rPr>
        <w:t>4</w:t>
      </w:r>
      <w:r>
        <w:rPr>
          <w:color w:val="435A69"/>
        </w:rPr>
        <w:t>)</w:t>
      </w:r>
      <w:r>
        <w:rPr>
          <w:color w:val="435A69"/>
          <w:spacing w:val="40"/>
        </w:rPr>
        <w:t xml:space="preserve"> </w:t>
      </w:r>
    </w:p>
    <w:p w14:paraId="61F3047A" w14:textId="7E77ED77" w:rsidR="00D751C3" w:rsidRDefault="003E2CE8">
      <w:pPr>
        <w:pStyle w:val="BodyText"/>
        <w:spacing w:before="185" w:line="211" w:lineRule="auto"/>
        <w:ind w:right="5461"/>
      </w:pPr>
      <w:r>
        <w:rPr>
          <w:color w:val="435A69"/>
        </w:rPr>
        <w:t>Value Added Tax: all figures are quoted exclusive of VAT, which is applicable at the prevailing rate.</w:t>
      </w:r>
    </w:p>
    <w:p w14:paraId="42FFAFEF" w14:textId="77777777" w:rsidR="00D751C3" w:rsidRDefault="003E2CE8">
      <w:pPr>
        <w:pStyle w:val="BodyText"/>
        <w:spacing w:line="185" w:lineRule="exact"/>
      </w:pPr>
      <w:r>
        <w:rPr>
          <w:color w:val="435A69"/>
        </w:rPr>
        <w:t>Local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Authority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Rates: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The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Scottish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Government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has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set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the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uniform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business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rate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(UBR)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for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2023/2024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at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49.8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pence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for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properties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where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the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Rateable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Value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(RV)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is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less</w:t>
      </w:r>
      <w:r>
        <w:rPr>
          <w:color w:val="435A69"/>
          <w:spacing w:val="-3"/>
        </w:rPr>
        <w:t xml:space="preserve"> </w:t>
      </w:r>
      <w:r>
        <w:rPr>
          <w:color w:val="435A69"/>
        </w:rPr>
        <w:t>than</w:t>
      </w:r>
      <w:r>
        <w:rPr>
          <w:color w:val="435A69"/>
          <w:spacing w:val="-2"/>
        </w:rPr>
        <w:t xml:space="preserve"> </w:t>
      </w:r>
      <w:r>
        <w:rPr>
          <w:color w:val="435A69"/>
        </w:rPr>
        <w:t>£51,000</w:t>
      </w:r>
      <w:r>
        <w:rPr>
          <w:color w:val="435A69"/>
          <w:spacing w:val="-3"/>
        </w:rPr>
        <w:t xml:space="preserve"> </w:t>
      </w:r>
      <w:r>
        <w:rPr>
          <w:color w:val="435A69"/>
          <w:spacing w:val="-5"/>
        </w:rPr>
        <w:t>and</w:t>
      </w:r>
    </w:p>
    <w:p w14:paraId="660D4814" w14:textId="19C5D5D3" w:rsidR="00D751C3" w:rsidRDefault="003E2CE8">
      <w:pPr>
        <w:pStyle w:val="BodyText"/>
        <w:spacing w:before="6" w:line="211" w:lineRule="auto"/>
      </w:pPr>
      <w:r>
        <w:rPr>
          <w:color w:val="435A69"/>
        </w:rPr>
        <w:t>£0.511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for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Rateable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Values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between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£51,001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and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£</w:t>
      </w:r>
      <w:r w:rsidR="00DC1C43">
        <w:rPr>
          <w:color w:val="435A69"/>
        </w:rPr>
        <w:t>95</w:t>
      </w:r>
      <w:r>
        <w:rPr>
          <w:color w:val="435A69"/>
        </w:rPr>
        <w:t>,000.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However,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under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the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Small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Business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Bonus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Scheme,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properties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with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Rateable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Values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of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£12,000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or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below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may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qualify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for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100%</w:t>
      </w:r>
      <w:r>
        <w:rPr>
          <w:color w:val="435A69"/>
          <w:spacing w:val="-6"/>
        </w:rPr>
        <w:t xml:space="preserve"> </w:t>
      </w:r>
      <w:r>
        <w:rPr>
          <w:color w:val="435A69"/>
        </w:rPr>
        <w:t>rates</w:t>
      </w:r>
      <w:r w:rsidR="00DC1C43">
        <w:rPr>
          <w:color w:val="435A69"/>
        </w:rPr>
        <w:t xml:space="preserve"> </w:t>
      </w:r>
      <w:r>
        <w:rPr>
          <w:color w:val="435A69"/>
        </w:rPr>
        <w:t>relief, with Rateable Values of between £17,001 and £18,000 potentially qualifying for 10% rates relief. These thresholds may vary in the future.</w:t>
      </w:r>
    </w:p>
    <w:sectPr w:rsidR="00D751C3">
      <w:type w:val="continuous"/>
      <w:pgSz w:w="16840" w:h="11910" w:orient="landscape"/>
      <w:pgMar w:top="10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</w:font>
  <w:font w:name="Avenir Book">
    <w:altName w:val="Tw Cen MT"/>
    <w:charset w:val="00"/>
    <w:family w:val="modern"/>
    <w:pitch w:val="variable"/>
  </w:font>
  <w:font w:name="Avenir Black">
    <w:altName w:val="Calibri"/>
    <w:charset w:val="00"/>
    <w:family w:val="swiss"/>
    <w:pitch w:val="variable"/>
  </w:font>
  <w:font w:name="Aveni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C3"/>
    <w:rsid w:val="00036B62"/>
    <w:rsid w:val="00082740"/>
    <w:rsid w:val="000E0324"/>
    <w:rsid w:val="001974CA"/>
    <w:rsid w:val="002C2324"/>
    <w:rsid w:val="003E2CE8"/>
    <w:rsid w:val="00412B53"/>
    <w:rsid w:val="00507212"/>
    <w:rsid w:val="0051781D"/>
    <w:rsid w:val="0056152C"/>
    <w:rsid w:val="0058229F"/>
    <w:rsid w:val="005F7E58"/>
    <w:rsid w:val="006F6C7E"/>
    <w:rsid w:val="007B6F8A"/>
    <w:rsid w:val="00867BA3"/>
    <w:rsid w:val="008B4938"/>
    <w:rsid w:val="00913031"/>
    <w:rsid w:val="00974C75"/>
    <w:rsid w:val="00AE3706"/>
    <w:rsid w:val="00B54C71"/>
    <w:rsid w:val="00C80FAC"/>
    <w:rsid w:val="00D22F07"/>
    <w:rsid w:val="00D2688F"/>
    <w:rsid w:val="00D751C3"/>
    <w:rsid w:val="00DC1C43"/>
    <w:rsid w:val="00DE5B4D"/>
    <w:rsid w:val="00F604EE"/>
    <w:rsid w:val="00FB2B9A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797B"/>
  <w15:docId w15:val="{E9740537-D12A-46C8-8A61-89CEBBC9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17"/>
    </w:pPr>
    <w:rPr>
      <w:rFonts w:ascii="Avenir Book" w:eastAsia="Avenir Book" w:hAnsi="Avenir Book" w:cs="Avenir Boo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  <w:rPr>
      <w:rFonts w:ascii="Avenir Book" w:eastAsia="Avenir Book" w:hAnsi="Avenir Book" w:cs="Avenir Book"/>
    </w:rPr>
  </w:style>
  <w:style w:type="character" w:styleId="Hyperlink">
    <w:name w:val="Hyperlink"/>
    <w:basedOn w:val="DefaultParagraphFont"/>
    <w:uiPriority w:val="99"/>
    <w:unhideWhenUsed/>
    <w:rsid w:val="00D26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search-prop.com/oakbank-trading-estate-glasg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ll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thon.webster@savills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Webster</dc:creator>
  <cp:lastModifiedBy>Jonathon Webster</cp:lastModifiedBy>
  <cp:revision>15</cp:revision>
  <cp:lastPrinted>2023-12-01T10:33:00Z</cp:lastPrinted>
  <dcterms:created xsi:type="dcterms:W3CDTF">2024-01-30T09:03:00Z</dcterms:created>
  <dcterms:modified xsi:type="dcterms:W3CDTF">2024-02-01T08:59:00Z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2023-12-01T00:00:00Z</vt:filetime>
  </property>
  <property fmtid="{D5CDD505-2E9C-101B-9397-08002B2CF9AE}" pid="5" name="Producer">
    <vt:lpwstr>Adobe PDF Library 17.0</vt:lpwstr>
  </property>
</Properties>
</file>